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8D2" w:rsidRPr="005068D2" w:rsidRDefault="005068D2" w:rsidP="005068D2">
      <w:pPr>
        <w:rPr>
          <w:rFonts w:ascii="黑体" w:eastAsia="黑体" w:hAnsi="黑体"/>
          <w:szCs w:val="32"/>
        </w:rPr>
      </w:pPr>
      <w:r w:rsidRPr="005068D2">
        <w:rPr>
          <w:rFonts w:ascii="黑体" w:eastAsia="黑体" w:hAnsi="黑体" w:hint="eastAsia"/>
          <w:szCs w:val="32"/>
        </w:rPr>
        <w:t>【</w:t>
      </w:r>
      <w:r w:rsidR="00CB1AFC">
        <w:rPr>
          <w:rFonts w:ascii="黑体" w:eastAsia="黑体" w:hAnsi="黑体" w:hint="eastAsia"/>
          <w:szCs w:val="32"/>
        </w:rPr>
        <w:t>问题探讨</w:t>
      </w:r>
      <w:r w:rsidRPr="005068D2">
        <w:rPr>
          <w:rFonts w:ascii="黑体" w:eastAsia="黑体" w:hAnsi="黑体" w:hint="eastAsia"/>
          <w:szCs w:val="32"/>
        </w:rPr>
        <w:t>】</w:t>
      </w:r>
    </w:p>
    <w:p w:rsidR="005068D2" w:rsidRPr="005068D2" w:rsidRDefault="005068D2" w:rsidP="005068D2">
      <w:pPr>
        <w:jc w:val="center"/>
        <w:rPr>
          <w:rFonts w:ascii="新宋体" w:eastAsia="新宋体" w:hAnsi="新宋体"/>
          <w:sz w:val="44"/>
          <w:szCs w:val="44"/>
        </w:rPr>
      </w:pPr>
      <w:r w:rsidRPr="005068D2">
        <w:rPr>
          <w:rFonts w:ascii="新宋体" w:eastAsia="新宋体" w:hAnsi="新宋体" w:hint="eastAsia"/>
          <w:sz w:val="44"/>
          <w:szCs w:val="44"/>
        </w:rPr>
        <w:t>现代旧体文学的“原始森林”亟待开发</w:t>
      </w:r>
    </w:p>
    <w:p w:rsidR="005068D2" w:rsidRPr="005068D2" w:rsidRDefault="005068D2" w:rsidP="005068D2">
      <w:pPr>
        <w:jc w:val="center"/>
        <w:rPr>
          <w:rFonts w:ascii="楷体_GB2312" w:eastAsia="楷体_GB2312"/>
          <w:szCs w:val="32"/>
        </w:rPr>
      </w:pPr>
      <w:r w:rsidRPr="005068D2">
        <w:rPr>
          <w:rFonts w:ascii="楷体_GB2312" w:eastAsia="楷体_GB2312" w:hint="eastAsia"/>
          <w:szCs w:val="32"/>
        </w:rPr>
        <w:t>（一院钟晓莹推荐，2016年7月8日）</w:t>
      </w:r>
    </w:p>
    <w:p w:rsidR="005068D2" w:rsidRPr="005068D2" w:rsidRDefault="005068D2" w:rsidP="005068D2">
      <w:pPr>
        <w:rPr>
          <w:rFonts w:ascii="仿宋_GB2312" w:eastAsia="仿宋_GB2312"/>
          <w:szCs w:val="32"/>
        </w:rPr>
      </w:pPr>
    </w:p>
    <w:p w:rsidR="005068D2" w:rsidRDefault="005068D2" w:rsidP="005068D2">
      <w:pPr>
        <w:ind w:firstLineChars="200" w:firstLine="632"/>
        <w:rPr>
          <w:rFonts w:ascii="楷体_GB2312" w:eastAsia="楷体_GB2312"/>
          <w:szCs w:val="32"/>
        </w:rPr>
      </w:pPr>
      <w:r w:rsidRPr="00CB1AFC">
        <w:rPr>
          <w:rFonts w:ascii="黑体" w:eastAsia="黑体" w:hAnsi="黑体" w:hint="eastAsia"/>
          <w:szCs w:val="32"/>
        </w:rPr>
        <w:t>推荐理由：</w:t>
      </w:r>
      <w:r w:rsidRPr="00CB1AFC">
        <w:rPr>
          <w:rFonts w:ascii="楷体_GB2312" w:eastAsia="楷体_GB2312" w:hint="eastAsia"/>
          <w:szCs w:val="32"/>
        </w:rPr>
        <w:t>伴随着考试周的结束，大家都仿佛回到了正常的生活，喜欢打游戏的继续打游戏，看书的继续看书，旅游的继续旅游。新一代的我们越来越懂得“享受”生活，慢慢的计划里有着诗和远方。但在这样悠闲又悠长的假期里，让大脑去思考更多的东西，不是更有意义吗？笔者推荐这一篇文章，谨希望能带来一些思考的新方向。</w:t>
      </w:r>
    </w:p>
    <w:p w:rsidR="00CB1AFC" w:rsidRPr="00CB1AFC" w:rsidRDefault="00CB1AFC" w:rsidP="005068D2">
      <w:pPr>
        <w:ind w:firstLineChars="200" w:firstLine="632"/>
        <w:rPr>
          <w:rFonts w:ascii="楷体_GB2312" w:eastAsia="楷体_GB2312"/>
          <w:szCs w:val="32"/>
        </w:rPr>
      </w:pPr>
    </w:p>
    <w:p w:rsidR="005068D2" w:rsidRPr="005068D2" w:rsidRDefault="00D714A0" w:rsidP="005068D2">
      <w:pPr>
        <w:rPr>
          <w:rFonts w:ascii="仿宋_GB2312" w:eastAsia="仿宋_GB2312"/>
          <w:szCs w:val="32"/>
        </w:rPr>
      </w:pPr>
      <w:r w:rsidRPr="00E36E6F">
        <w:rPr>
          <w:rFonts w:ascii="仿宋_GB2312" w:eastAsia="仿宋_GB231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292.5pt">
            <v:imagedata r:id="rId7" o:title="02.2.1"/>
          </v:shape>
        </w:pict>
      </w:r>
    </w:p>
    <w:p w:rsidR="005068D2" w:rsidRPr="005068D2" w:rsidRDefault="005068D2" w:rsidP="005068D2">
      <w:pPr>
        <w:ind w:firstLineChars="200" w:firstLine="632"/>
        <w:rPr>
          <w:rFonts w:ascii="仿宋_GB2312" w:eastAsia="仿宋_GB2312"/>
          <w:szCs w:val="32"/>
        </w:rPr>
      </w:pPr>
      <w:r w:rsidRPr="005068D2">
        <w:rPr>
          <w:rFonts w:ascii="仿宋_GB2312" w:eastAsia="仿宋_GB2312" w:hint="eastAsia"/>
          <w:szCs w:val="32"/>
        </w:rPr>
        <w:lastRenderedPageBreak/>
        <w:t>从新文化运动到新中国成立30多年时间里，有多少人进行旧体文学创作？他们留下了多少旧体诗、词、文？出版过多少旧体诗集、词集、文集？</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7月3日，在南京师范大学举办的民国旧体文学学术研讨会上，面对这些提问，在这个领域耕耘了20余年的南京师范大学教授曹辛华坦言，目前还无法给出具体的答案。在他看来，这一时期的旧体文学文献犹如一片有待开发的“原始森林”，数量庞大，其全貌尚无人知晓。</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无论是来自古代文学领域，还是身处现代文学学科，越来越多的学者开始意识到：现代旧体文学是中国文学史上承前启后的重要一环，系统整理现代旧体文学文献是当下学术研究必不可少的一项基础工作。</w:t>
      </w:r>
    </w:p>
    <w:p w:rsidR="005068D2" w:rsidRPr="005068D2" w:rsidRDefault="005068D2" w:rsidP="005068D2">
      <w:pPr>
        <w:rPr>
          <w:rFonts w:ascii="黑体" w:eastAsia="黑体" w:hAnsi="黑体"/>
          <w:szCs w:val="32"/>
        </w:rPr>
      </w:pPr>
      <w:r w:rsidRPr="005068D2">
        <w:rPr>
          <w:rFonts w:ascii="黑体" w:eastAsia="黑体" w:hAnsi="黑体" w:hint="eastAsia"/>
          <w:szCs w:val="32"/>
        </w:rPr>
        <w:t xml:space="preserve">　　发现“月亮的背面”</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“横眉冷对千夫指，俯首甘为孺子牛”“雄关漫道真如铁，而今迈步从头越”“此去泉台招旧部，旌旗十万斩阎罗”……</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今天，当人们吟诵起这些耳熟能详的诗句时，或许很少有人注意到这样一个文学现象：在新文化运动后的几十年中，即使是鲁迅、毛泽东、陈毅这些文学家、革命家，仍然没有放弃旧体文学的创作。曹辛华说，陈独秀、李大钊、周作人、郁达夫、郭沫若等新文化运动的倡导者，其实都留下了不少旧体诗词作品，闻一多甚至有过“唐贤读破三千纸，勒马回缰作旧诗”的反思。当时，不仅在苏州、上海、南京等地成立了南社、声社、如社等诗词社团，而且有陕甘宁边区的“怀安诗社”、晋察冀边区的“燕赵诗社”，新四军也在江苏盐城成立了“湖海艺文社”。</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曹辛华认为，诗词社团的活跃既加强了文人之间的联系，也为切磋技艺、发扬传统提供了条件。而由于印刷业的发展，这些诗词社团大多能及时出版社集，有的还创办有专门的社刊。此外，在《民报》《觉民月刊》《中华新报》等很多报刊上，都开辟了诗词专栏，选登诗词作品，形成了一个旧体诗词写作、传播、消费的完整链条，在刺激诗词创作的同时，也加快了诗词传播速度。</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不仅如此，当时旧体诗词研究还成为很多高校的专业课程，有专人教授。”曹辛华拿出一本1933年出版的《词学季刊》创刊号，据其中的一篇文章记载，吴梅、汪东、陈洵、刘永济、龙榆生等词学家分别在南京大学、中山大学、武汉大学、暨南大学等院校讲授词学。著名词人、学者唐圭璋就是吴梅当年的弟子，叶嘉莹则是顾随在辅仁大学任教时的高足，当年的教育成果可见一斑。</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然而，不论旧体文学社团还是旧体文学作家，在大多数文学史著作中，人们很难发现他们的身影。</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在以往的文学史写作中，现代旧体文学一直处在一种‘三不管’的尴尬境地：既不属于古代文学、近代文学的研究范畴，又遭到现代文学的排斥。”曹辛华把现代文学史上“新文学”和“旧体文学”比作月亮的两面，本是相辅相生、同时并存的关系，但新文学成了月亮的“亮面”，旧体文学则成了月亮“背面”，“我们想认识现代文学史这轮‘全月’，就应该像科学家一样，既探索‘亮部’，又探索‘暗部’，岂可仅盯‘亮部’？”</w:t>
      </w:r>
    </w:p>
    <w:p w:rsidR="005068D2" w:rsidRPr="00CB1AFC" w:rsidRDefault="005068D2" w:rsidP="005068D2">
      <w:pPr>
        <w:rPr>
          <w:rFonts w:ascii="黑体" w:eastAsia="黑体" w:hAnsi="黑体"/>
          <w:szCs w:val="32"/>
        </w:rPr>
      </w:pPr>
      <w:r w:rsidRPr="00CB1AFC">
        <w:rPr>
          <w:rFonts w:ascii="黑体" w:eastAsia="黑体" w:hAnsi="黑体" w:hint="eastAsia"/>
          <w:szCs w:val="32"/>
        </w:rPr>
        <w:t xml:space="preserve">　　还原现代文学“生态”</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在现代文学史阶段，旧体文学创作的总量有多大？</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曹辛华这样回答：词体以宋代最为人所称道，《全宋词》收录的词大约两万首，而他正在编纂的《全民国词》，仅第一辑的体量就与之相当。虽然尚且无法准确估算，但待到此书全部编纂完成，数量至少是《全宋词》的数倍之多。如果将之拓展到旧体诗、词、曲、赋、剧、联、小说等各种文体，其规模可想而知。宋代国祚300多年，而现代文学史只有短短的三十几年。</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在多年的研究过程中，曹辛华深感现代文学史上的旧体文学作家、作品繁多，文献问题复杂，还原现代旧体文学的“生态”颇为困难。他建议，学界、出版界应共同努力，深入排查各类现代旧体文学相关文献，梳理现代旧体文学的总体情况，形成各种文献史料或资源库，为全面认识现代旧体文学提供文献基础。这也是还原中国现代文学“生态”的必由之路。</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现代旧体文学史在为新文学史的研究提供参照的同时，还将真正实现现代文学史专家一直要做到的‘原生态’研究设想，刺激现代文学研究思维新变。借助旧体文学这一参照物，一方面可使我们对新文学与旧体文学的互动、互通问题有所明白。另一方面，可使我们真正了解中国文学由古典到现代转型的‘内幕’，为‘事实文学史’的撰写提供素材与理论支撑。”曹辛华希望，在文献准备充足的情况下，今后可以仿照《中国近代文学大系》《中国新文学大系》的模式，编写《民国旧体文学大系》，将现代旧体文学中那些“新”、奇、特、美的篇章遴选出来，以便学术研究使用。</w:t>
      </w:r>
    </w:p>
    <w:p w:rsidR="005068D2" w:rsidRPr="005068D2" w:rsidRDefault="005068D2" w:rsidP="005068D2">
      <w:pPr>
        <w:rPr>
          <w:rFonts w:ascii="仿宋_GB2312" w:eastAsia="仿宋_GB2312"/>
          <w:szCs w:val="32"/>
        </w:rPr>
      </w:pPr>
      <w:r w:rsidRPr="005068D2">
        <w:rPr>
          <w:rFonts w:ascii="仿宋_GB2312" w:eastAsia="仿宋_GB2312" w:hint="eastAsia"/>
          <w:szCs w:val="32"/>
        </w:rPr>
        <w:t xml:space="preserve">　　“毋庸讳言，这一时期的旧体诗文大多称不上优秀作品，但毕竟是一种不可忽视的文化现象，我们这代人有责任把它们整理出来。”曹辛华说。</w:t>
      </w:r>
    </w:p>
    <w:p w:rsidR="00A35533" w:rsidRDefault="005068D2" w:rsidP="005068D2">
      <w:pPr>
        <w:ind w:firstLineChars="200" w:firstLine="632"/>
        <w:rPr>
          <w:rFonts w:ascii="楷体_GB2312" w:eastAsia="楷体_GB2312" w:hint="eastAsia"/>
          <w:szCs w:val="32"/>
        </w:rPr>
      </w:pPr>
      <w:r w:rsidRPr="00CB1AFC">
        <w:rPr>
          <w:rFonts w:ascii="楷体_GB2312" w:eastAsia="楷体_GB2312" w:hint="eastAsia"/>
          <w:szCs w:val="32"/>
        </w:rPr>
        <w:t>（</w:t>
      </w:r>
      <w:r w:rsidRPr="00CB1AFC">
        <w:rPr>
          <w:rFonts w:ascii="黑体" w:eastAsia="黑体" w:hAnsi="黑体" w:hint="eastAsia"/>
          <w:szCs w:val="32"/>
        </w:rPr>
        <w:t>推荐者注：</w:t>
      </w:r>
      <w:r w:rsidR="00CB1AFC">
        <w:rPr>
          <w:rFonts w:ascii="楷体_GB2312" w:eastAsia="楷体_GB2312" w:hint="eastAsia"/>
          <w:szCs w:val="32"/>
        </w:rPr>
        <w:t>本</w:t>
      </w:r>
      <w:r w:rsidRPr="00CB1AFC">
        <w:rPr>
          <w:rFonts w:ascii="楷体_GB2312" w:eastAsia="楷体_GB2312" w:hint="eastAsia"/>
          <w:szCs w:val="32"/>
        </w:rPr>
        <w:t>文来自光明日报-光明网2016年7月7日09版，记者：杜羽）</w:t>
      </w:r>
    </w:p>
    <w:p w:rsidR="00D714A0" w:rsidRPr="00D714A0" w:rsidRDefault="00D714A0" w:rsidP="00D714A0">
      <w:pPr>
        <w:adjustRightInd w:val="0"/>
        <w:ind w:firstLineChars="200" w:firstLine="632"/>
        <w:rPr>
          <w:rFonts w:ascii="仿宋_GB2312" w:eastAsia="宋体"/>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学校关工网站刊发时间：2016年7月29日</w:t>
      </w:r>
      <w:r>
        <w:rPr>
          <w:rFonts w:ascii="仿宋_GB2312" w:hint="eastAsia"/>
          <w:szCs w:val="32"/>
        </w:rPr>
        <w:t>）</w:t>
      </w:r>
    </w:p>
    <w:sectPr w:rsidR="00D714A0" w:rsidRPr="00D714A0" w:rsidSect="00BF68B0">
      <w:headerReference w:type="even" r:id="rId8"/>
      <w:headerReference w:type="default" r:id="rId9"/>
      <w:footerReference w:type="even" r:id="rId10"/>
      <w:footerReference w:type="default" r:id="rId11"/>
      <w:pgSz w:w="11906" w:h="16838" w:code="9"/>
      <w:pgMar w:top="1985" w:right="1474" w:bottom="1418"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5DA" w:rsidRDefault="005B75DA">
      <w:r>
        <w:separator/>
      </w:r>
    </w:p>
  </w:endnote>
  <w:endnote w:type="continuationSeparator" w:id="0">
    <w:p w:rsidR="005B75DA" w:rsidRDefault="005B75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C7" w:rsidRDefault="00FA31C7">
    <w:pPr>
      <w:pStyle w:val="a6"/>
      <w:framePr w:wrap="around" w:vAnchor="text" w:hAnchor="page" w:x="1589" w:y="-218"/>
      <w:ind w:firstLineChars="100" w:firstLine="280"/>
      <w:rPr>
        <w:rStyle w:val="a3"/>
        <w:rFonts w:ascii="FangSong_GB2312"/>
        <w:sz w:val="28"/>
        <w:szCs w:val="28"/>
      </w:rPr>
    </w:pPr>
    <w:r>
      <w:rPr>
        <w:rStyle w:val="a3"/>
        <w:rFonts w:ascii="FangSong_GB2312" w:hint="eastAsia"/>
        <w:sz w:val="28"/>
        <w:szCs w:val="28"/>
      </w:rPr>
      <w:t>—</w:t>
    </w:r>
    <w:r w:rsidR="00E36E6F">
      <w:rPr>
        <w:rFonts w:ascii="FangSong_GB2312" w:hint="eastAsia"/>
        <w:sz w:val="28"/>
        <w:szCs w:val="28"/>
      </w:rPr>
      <w:fldChar w:fldCharType="begin"/>
    </w:r>
    <w:r>
      <w:rPr>
        <w:rStyle w:val="a3"/>
        <w:rFonts w:ascii="FangSong_GB2312" w:hint="eastAsia"/>
        <w:sz w:val="28"/>
        <w:szCs w:val="28"/>
      </w:rPr>
      <w:instrText xml:space="preserve">PAGE  </w:instrText>
    </w:r>
    <w:r w:rsidR="00E36E6F">
      <w:rPr>
        <w:rFonts w:ascii="FangSong_GB2312" w:hint="eastAsia"/>
        <w:sz w:val="28"/>
        <w:szCs w:val="28"/>
      </w:rPr>
      <w:fldChar w:fldCharType="separate"/>
    </w:r>
    <w:r w:rsidR="00D714A0">
      <w:rPr>
        <w:rStyle w:val="a3"/>
        <w:rFonts w:ascii="FangSong_GB2312" w:hint="eastAsia"/>
        <w:noProof/>
        <w:sz w:val="28"/>
        <w:szCs w:val="28"/>
      </w:rPr>
      <w:t>４</w:t>
    </w:r>
    <w:r w:rsidR="00E36E6F">
      <w:rPr>
        <w:rFonts w:ascii="FangSong_GB2312" w:hint="eastAsia"/>
        <w:sz w:val="28"/>
        <w:szCs w:val="28"/>
      </w:rPr>
      <w:fldChar w:fldCharType="end"/>
    </w:r>
    <w:r>
      <w:rPr>
        <w:rStyle w:val="a3"/>
        <w:rFonts w:ascii="FangSong_GB2312" w:hint="eastAsia"/>
        <w:sz w:val="28"/>
        <w:szCs w:val="28"/>
      </w:rPr>
      <w:t>—</w:t>
    </w:r>
  </w:p>
  <w:p w:rsidR="00FA31C7" w:rsidRDefault="00FA31C7">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1C7" w:rsidRDefault="00FA31C7">
    <w:pPr>
      <w:pStyle w:val="a6"/>
      <w:framePr w:w="1114" w:wrap="around" w:vAnchor="text" w:hAnchor="page" w:x="9173" w:y="-218"/>
      <w:rPr>
        <w:rStyle w:val="a3"/>
        <w:rFonts w:ascii="FangSong_GB2312"/>
        <w:sz w:val="28"/>
        <w:szCs w:val="28"/>
      </w:rPr>
    </w:pPr>
    <w:r>
      <w:rPr>
        <w:rStyle w:val="a3"/>
        <w:rFonts w:ascii="FangSong_GB2312" w:hint="eastAsia"/>
        <w:sz w:val="28"/>
        <w:szCs w:val="28"/>
      </w:rPr>
      <w:t>—</w:t>
    </w:r>
    <w:r w:rsidR="00E36E6F">
      <w:rPr>
        <w:rFonts w:ascii="FangSong_GB2312" w:hint="eastAsia"/>
        <w:sz w:val="28"/>
        <w:szCs w:val="28"/>
      </w:rPr>
      <w:fldChar w:fldCharType="begin"/>
    </w:r>
    <w:r>
      <w:rPr>
        <w:rStyle w:val="a3"/>
        <w:rFonts w:ascii="FangSong_GB2312" w:hint="eastAsia"/>
        <w:sz w:val="28"/>
        <w:szCs w:val="28"/>
      </w:rPr>
      <w:instrText xml:space="preserve">PAGE  </w:instrText>
    </w:r>
    <w:r w:rsidR="00E36E6F">
      <w:rPr>
        <w:rFonts w:ascii="FangSong_GB2312" w:hint="eastAsia"/>
        <w:sz w:val="28"/>
        <w:szCs w:val="28"/>
      </w:rPr>
      <w:fldChar w:fldCharType="separate"/>
    </w:r>
    <w:r w:rsidR="005B75DA">
      <w:rPr>
        <w:rStyle w:val="a3"/>
        <w:rFonts w:ascii="FangSong_GB2312" w:hint="eastAsia"/>
        <w:noProof/>
        <w:sz w:val="28"/>
        <w:szCs w:val="28"/>
      </w:rPr>
      <w:t>１</w:t>
    </w:r>
    <w:r w:rsidR="00E36E6F">
      <w:rPr>
        <w:rFonts w:ascii="FangSong_GB2312" w:hint="eastAsia"/>
        <w:sz w:val="28"/>
        <w:szCs w:val="28"/>
      </w:rPr>
      <w:fldChar w:fldCharType="end"/>
    </w:r>
    <w:r>
      <w:rPr>
        <w:rStyle w:val="a3"/>
        <w:rFonts w:ascii="FangSong_GB2312" w:hint="eastAsia"/>
        <w:sz w:val="28"/>
        <w:szCs w:val="28"/>
      </w:rPr>
      <w:t>—</w:t>
    </w:r>
  </w:p>
  <w:p w:rsidR="00FA31C7" w:rsidRDefault="00FA31C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5DA" w:rsidRDefault="005B75DA">
      <w:r>
        <w:separator/>
      </w:r>
    </w:p>
  </w:footnote>
  <w:footnote w:type="continuationSeparator" w:id="0">
    <w:p w:rsidR="005B75DA" w:rsidRDefault="005B75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47" w:rsidRDefault="00F32947" w:rsidP="00F32947">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947" w:rsidRDefault="00F32947" w:rsidP="00F3294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evenAndOddHeaders/>
  <w:drawingGridHorizontalSpacing w:val="158"/>
  <w:drawingGridVerticalSpacing w:val="579"/>
  <w:displayHorizontalDrawingGridEvery w:val="0"/>
  <w:characterSpacingControl w:val="compressPunctuation"/>
  <w:savePreviewPicture/>
  <w:doNotValidateAgainstSchema/>
  <w:doNotDemarcateInvalidXml/>
  <w:hdrShapeDefaults>
    <o:shapedefaults v:ext="edit" spidmax="9218" style="mso-position-horizontal:center"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038"/>
    <w:rsid w:val="00005478"/>
    <w:rsid w:val="00010BC6"/>
    <w:rsid w:val="00015C26"/>
    <w:rsid w:val="000171C4"/>
    <w:rsid w:val="00095DD9"/>
    <w:rsid w:val="000B2106"/>
    <w:rsid w:val="00172A27"/>
    <w:rsid w:val="001D41F4"/>
    <w:rsid w:val="002714F9"/>
    <w:rsid w:val="002F2F05"/>
    <w:rsid w:val="003347D1"/>
    <w:rsid w:val="0038771F"/>
    <w:rsid w:val="00462E37"/>
    <w:rsid w:val="005022C1"/>
    <w:rsid w:val="005068D2"/>
    <w:rsid w:val="005B75DA"/>
    <w:rsid w:val="006030D3"/>
    <w:rsid w:val="0061364C"/>
    <w:rsid w:val="00650797"/>
    <w:rsid w:val="00670A4D"/>
    <w:rsid w:val="00712578"/>
    <w:rsid w:val="007244F8"/>
    <w:rsid w:val="00747301"/>
    <w:rsid w:val="007803E1"/>
    <w:rsid w:val="007E5F8B"/>
    <w:rsid w:val="00917F98"/>
    <w:rsid w:val="00941F05"/>
    <w:rsid w:val="00977CCA"/>
    <w:rsid w:val="009B49A9"/>
    <w:rsid w:val="00A2186A"/>
    <w:rsid w:val="00A35533"/>
    <w:rsid w:val="00A9738F"/>
    <w:rsid w:val="00B12C01"/>
    <w:rsid w:val="00B152BA"/>
    <w:rsid w:val="00B16E02"/>
    <w:rsid w:val="00B9562D"/>
    <w:rsid w:val="00BF68B0"/>
    <w:rsid w:val="00CB1AFC"/>
    <w:rsid w:val="00CE1555"/>
    <w:rsid w:val="00D30D38"/>
    <w:rsid w:val="00D714A0"/>
    <w:rsid w:val="00D91BBF"/>
    <w:rsid w:val="00DD40CA"/>
    <w:rsid w:val="00E12B16"/>
    <w:rsid w:val="00E36E6F"/>
    <w:rsid w:val="00E61A55"/>
    <w:rsid w:val="00ED0A46"/>
    <w:rsid w:val="00F32947"/>
    <w:rsid w:val="00FA31C7"/>
    <w:rsid w:val="00FF449E"/>
    <w:rsid w:val="00FF526E"/>
    <w:rsid w:val="55915A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478"/>
    <w:pPr>
      <w:widowControl w:val="0"/>
      <w:jc w:val="both"/>
    </w:pPr>
    <w:rPr>
      <w:rFonts w:eastAsia="FangSong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05478"/>
  </w:style>
  <w:style w:type="paragraph" w:styleId="a4">
    <w:name w:val="Normal (Web)"/>
    <w:basedOn w:val="a"/>
    <w:uiPriority w:val="99"/>
    <w:unhideWhenUsed/>
    <w:rsid w:val="00005478"/>
    <w:pPr>
      <w:jc w:val="left"/>
    </w:pPr>
    <w:rPr>
      <w:kern w:val="0"/>
      <w:sz w:val="24"/>
    </w:rPr>
  </w:style>
  <w:style w:type="paragraph" w:styleId="a5">
    <w:name w:val="header"/>
    <w:basedOn w:val="a"/>
    <w:rsid w:val="00005478"/>
    <w:pPr>
      <w:pBdr>
        <w:bottom w:val="single" w:sz="6" w:space="1" w:color="auto"/>
      </w:pBdr>
      <w:tabs>
        <w:tab w:val="center" w:pos="4153"/>
        <w:tab w:val="right" w:pos="8306"/>
      </w:tabs>
      <w:snapToGrid w:val="0"/>
      <w:jc w:val="center"/>
    </w:pPr>
    <w:rPr>
      <w:sz w:val="18"/>
      <w:szCs w:val="18"/>
    </w:rPr>
  </w:style>
  <w:style w:type="paragraph" w:styleId="a6">
    <w:name w:val="footer"/>
    <w:basedOn w:val="a"/>
    <w:rsid w:val="00005478"/>
    <w:pPr>
      <w:tabs>
        <w:tab w:val="center" w:pos="4153"/>
        <w:tab w:val="right" w:pos="8306"/>
      </w:tabs>
      <w:snapToGrid w:val="0"/>
      <w:jc w:val="left"/>
    </w:pPr>
    <w:rPr>
      <w:sz w:val="18"/>
      <w:szCs w:val="18"/>
    </w:rPr>
  </w:style>
  <w:style w:type="character" w:styleId="a7">
    <w:name w:val="Hyperlink"/>
    <w:basedOn w:val="a0"/>
    <w:uiPriority w:val="99"/>
    <w:unhideWhenUsed/>
    <w:rsid w:val="00917F98"/>
    <w:rPr>
      <w:color w:val="0000FF"/>
      <w:u w:val="single"/>
    </w:rPr>
  </w:style>
</w:styles>
</file>

<file path=word/webSettings.xml><?xml version="1.0" encoding="utf-8"?>
<w:webSettings xmlns:r="http://schemas.openxmlformats.org/officeDocument/2006/relationships" xmlns:w="http://schemas.openxmlformats.org/wordprocessingml/2006/main">
  <w:divs>
    <w:div w:id="139080946">
      <w:bodyDiv w:val="1"/>
      <w:marLeft w:val="0"/>
      <w:marRight w:val="0"/>
      <w:marTop w:val="0"/>
      <w:marBottom w:val="0"/>
      <w:divBdr>
        <w:top w:val="none" w:sz="0" w:space="0" w:color="auto"/>
        <w:left w:val="none" w:sz="0" w:space="0" w:color="auto"/>
        <w:bottom w:val="none" w:sz="0" w:space="0" w:color="auto"/>
        <w:right w:val="none" w:sz="0" w:space="0" w:color="auto"/>
      </w:divBdr>
    </w:div>
    <w:div w:id="329676983">
      <w:bodyDiv w:val="1"/>
      <w:marLeft w:val="0"/>
      <w:marRight w:val="0"/>
      <w:marTop w:val="0"/>
      <w:marBottom w:val="0"/>
      <w:divBdr>
        <w:top w:val="none" w:sz="0" w:space="0" w:color="auto"/>
        <w:left w:val="none" w:sz="0" w:space="0" w:color="auto"/>
        <w:bottom w:val="none" w:sz="0" w:space="0" w:color="auto"/>
        <w:right w:val="none" w:sz="0" w:space="0" w:color="auto"/>
      </w:divBdr>
      <w:divsChild>
        <w:div w:id="2102680459">
          <w:marLeft w:val="0"/>
          <w:marRight w:val="150"/>
          <w:marTop w:val="150"/>
          <w:marBottom w:val="150"/>
          <w:divBdr>
            <w:top w:val="single" w:sz="6" w:space="4" w:color="CDCDCD"/>
            <w:left w:val="single" w:sz="6" w:space="4" w:color="CDCDCD"/>
            <w:bottom w:val="single" w:sz="6" w:space="4" w:color="CDCDCD"/>
            <w:right w:val="single" w:sz="6" w:space="4" w:color="CDCDCD"/>
          </w:divBdr>
        </w:div>
      </w:divsChild>
    </w:div>
    <w:div w:id="586840723">
      <w:bodyDiv w:val="1"/>
      <w:marLeft w:val="0"/>
      <w:marRight w:val="0"/>
      <w:marTop w:val="0"/>
      <w:marBottom w:val="0"/>
      <w:divBdr>
        <w:top w:val="none" w:sz="0" w:space="0" w:color="auto"/>
        <w:left w:val="none" w:sz="0" w:space="0" w:color="auto"/>
        <w:bottom w:val="none" w:sz="0" w:space="0" w:color="auto"/>
        <w:right w:val="none" w:sz="0" w:space="0" w:color="auto"/>
      </w:divBdr>
    </w:div>
    <w:div w:id="597249910">
      <w:bodyDiv w:val="1"/>
      <w:marLeft w:val="0"/>
      <w:marRight w:val="0"/>
      <w:marTop w:val="0"/>
      <w:marBottom w:val="0"/>
      <w:divBdr>
        <w:top w:val="none" w:sz="0" w:space="0" w:color="auto"/>
        <w:left w:val="none" w:sz="0" w:space="0" w:color="auto"/>
        <w:bottom w:val="none" w:sz="0" w:space="0" w:color="auto"/>
        <w:right w:val="none" w:sz="0" w:space="0" w:color="auto"/>
      </w:divBdr>
    </w:div>
    <w:div w:id="1003162956">
      <w:bodyDiv w:val="1"/>
      <w:marLeft w:val="0"/>
      <w:marRight w:val="0"/>
      <w:marTop w:val="0"/>
      <w:marBottom w:val="0"/>
      <w:divBdr>
        <w:top w:val="none" w:sz="0" w:space="0" w:color="auto"/>
        <w:left w:val="none" w:sz="0" w:space="0" w:color="auto"/>
        <w:bottom w:val="none" w:sz="0" w:space="0" w:color="auto"/>
        <w:right w:val="none" w:sz="0" w:space="0" w:color="auto"/>
      </w:divBdr>
    </w:div>
    <w:div w:id="1152063316">
      <w:bodyDiv w:val="1"/>
      <w:marLeft w:val="0"/>
      <w:marRight w:val="0"/>
      <w:marTop w:val="0"/>
      <w:marBottom w:val="0"/>
      <w:divBdr>
        <w:top w:val="none" w:sz="0" w:space="0" w:color="auto"/>
        <w:left w:val="none" w:sz="0" w:space="0" w:color="auto"/>
        <w:bottom w:val="none" w:sz="0" w:space="0" w:color="auto"/>
        <w:right w:val="none" w:sz="0" w:space="0" w:color="auto"/>
      </w:divBdr>
      <w:divsChild>
        <w:div w:id="1921061681">
          <w:marLeft w:val="0"/>
          <w:marRight w:val="150"/>
          <w:marTop w:val="150"/>
          <w:marBottom w:val="150"/>
          <w:divBdr>
            <w:top w:val="single" w:sz="6" w:space="4" w:color="CDCDCD"/>
            <w:left w:val="single" w:sz="6" w:space="4" w:color="CDCDCD"/>
            <w:bottom w:val="single" w:sz="6" w:space="4" w:color="CDCDCD"/>
            <w:right w:val="single" w:sz="6" w:space="4" w:color="CDCDCD"/>
          </w:divBdr>
        </w:div>
      </w:divsChild>
    </w:div>
    <w:div w:id="1469400269">
      <w:bodyDiv w:val="1"/>
      <w:marLeft w:val="0"/>
      <w:marRight w:val="0"/>
      <w:marTop w:val="0"/>
      <w:marBottom w:val="0"/>
      <w:divBdr>
        <w:top w:val="none" w:sz="0" w:space="0" w:color="auto"/>
        <w:left w:val="none" w:sz="0" w:space="0" w:color="auto"/>
        <w:bottom w:val="none" w:sz="0" w:space="0" w:color="auto"/>
        <w:right w:val="none" w:sz="0" w:space="0" w:color="auto"/>
      </w:divBdr>
    </w:div>
    <w:div w:id="1681809453">
      <w:bodyDiv w:val="1"/>
      <w:marLeft w:val="0"/>
      <w:marRight w:val="0"/>
      <w:marTop w:val="0"/>
      <w:marBottom w:val="0"/>
      <w:divBdr>
        <w:top w:val="none" w:sz="0" w:space="0" w:color="auto"/>
        <w:left w:val="none" w:sz="0" w:space="0" w:color="auto"/>
        <w:bottom w:val="none" w:sz="0" w:space="0" w:color="auto"/>
        <w:right w:val="none" w:sz="0" w:space="0" w:color="auto"/>
      </w:divBdr>
    </w:div>
    <w:div w:id="176314424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5C947-33D1-4131-8C40-2409A1DCE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319</Words>
  <Characters>1821</Characters>
  <Application>Microsoft Office Word</Application>
  <DocSecurity>0</DocSecurity>
  <PresentationFormat/>
  <Lines>15</Lines>
  <Paragraphs>4</Paragraphs>
  <Slides>0</Slides>
  <Notes>0</Notes>
  <HiddenSlides>0</HiddenSlides>
  <MMClips>0</MMClips>
  <ScaleCrop>false</ScaleCrop>
  <Company/>
  <LinksUpToDate>false</LinksUpToDate>
  <CharactersWithSpaces>2136</CharactersWithSpaces>
  <SharedDoc>false</SharedDoc>
  <HLinks>
    <vt:vector size="6" baseType="variant">
      <vt:variant>
        <vt:i4>6357077</vt:i4>
      </vt:variant>
      <vt:variant>
        <vt:i4>0</vt:i4>
      </vt:variant>
      <vt:variant>
        <vt:i4>0</vt:i4>
      </vt:variant>
      <vt:variant>
        <vt:i4>5</vt:i4>
      </vt:variant>
      <vt:variant>
        <vt:lpwstr>http://baike.sogou.com/lemma/ShowInnerLink.htm?lemmaId=149259&amp;ss_c=ssc.citiao.link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【如正式引用，须自行核实】</dc:title>
  <dc:creator>new</dc:creator>
  <cp:lastModifiedBy>User</cp:lastModifiedBy>
  <cp:revision>4</cp:revision>
  <dcterms:created xsi:type="dcterms:W3CDTF">2016-07-08T08:27:00Z</dcterms:created>
  <dcterms:modified xsi:type="dcterms:W3CDTF">2016-07-27T05:40:00Z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